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лицензии на программное обеспечение Casebook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- 15.01.10053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компания»: программа для ЭВМ «API-Casebook». Будет являться новым НМА.  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Для усиления работы с дебиторской задолженностью со стороны АО «Петербургская сбытовая компания» проводился анализ возможных способов актуализации и улучшения качества данных о Контрагентах и Потребителях в Биллинговых системах, а также изучался вопрос автоматического наполнения базы данных Единая биллинговой системы расчетов с юридическими лицами (ЕБСРЮЛ) информацией из официальных внешних источников, в том числе, посредством технологии API.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Получение данных от внешних источников необходимо в первую очередь для ведения договорной работы и работы с дебиторской задолженностью, в том числе, досудебной работы, претензионно-исковой работы (включая взыскания в судебном порядке и исполнительное производство) и сопровождения процедур банкротства контрагентов, а также иной работы по защите правовых и экономических интересов Компании.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Потребности бизнес-процессов, автоматизированных (или планируемых к автоматизации в ближайшее время) в рамках корпоративной системы ЕБСРЮЛ, предполагают получение следующих данных из внешних источников: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сведения о контрагенте (ЕГРЮЛ, ЕГРИП, в том числе, наименование, адрес, реквизиты);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анализ рисков по контрагенту (аффилированность, платежеспособность, экономические показатели и бухгалтерский учет, участие в закупках, статистика участия в судебных процессах);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банкротства (ЕФРСБ, картотека арбитражных дел);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судебная работа по делам Компании (сведения по конкретным делам и судебным актам, в том числе даты судебных заседаний, резолюции суда);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исполнительное производства (БДИП ФССП, картотека арбитражных дел);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 нематериальные активы контрагентов (лицензии, доменные имена и т.д.)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По результатам проведенного анализа наиболее полным набором сведений для автоматизированного наполнения ЕБСРЮЛ обладают сервисы НАО «Право.ру». Данная компания обладает исключительным правом на систематизацию и хранение данных о судебной работе, являясь единственным поставщиком программного обеспечения для арбитражных судов, а также осуществляет накопление сведений из других официальных источников данных о субъектах права таких как ЕГРЮЛ, ЕГРИП, ЕФРСБ, БДИП ФССП. Иные информационные сервисы по итогам анализа не готовы на настоящий момент предоставить аналогичный набор сведений на наполнения ЕБСРЮЛ.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С помощью API-Casebook от НАО «Право.ру» при работе с юридическими лицами можно осуществлять: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мониторинг арбитражной практики (в динамике по количеству дел, суммам, текущим/завершенным);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оценку исковой нагрузки по контрагенту;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прогноз вероятности исхода дела;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фильтрацию по категории спора (неиспользование кредитных обязательств, задолженность по аренде и пр.);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проверки исполнительных производств (текущие/завершенные с привязкой к делу);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отслеживание банкротства с момента подачи искового заявления;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выявление неявной аффилированности по судам;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−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выявление факторов риска и т.д.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С 2022 года предоставление ПО финансируется АО «Мосэнергосбыт» в интересах всех энергосбытовых компаний Группы, использующих Единое биллинговое решение для расчетов с юридическими лицами. Соответствующий договор был заключен на 36 месяцев, в 2028 году необходимо продлить лицензию на следующий период 36 месяцев.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Актуализация и улучшения качества данных о Контрагентах и Потребителях в Биллинговых системах, посредством автоматического наполнения базы данных Единая биллинговой системы расчетов с юридическими лицами (ЕБСРЮЛ) информацией из официальных внешних источников с использованием автоматизированного сервиса API.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t xml:space="preserve">акупка осуществляется у АО «Мосэнергосбыт»  способом закупки «единственный поставщик», путем заключения сублицензионного договора. Между АО «Мосэнергосбыт» и  НАО «Право.ру» заключен лицензионный договор в интересах всех энергосбытовых компаний Группы, использующих Единое биллинговое решение для расчетов с юридическими лицами, так как  НАО «Право.ру» является правообладателем программы для ЭВМ Casebook API. 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2028 г.</w:t>
      </w:r>
      <w:r/>
    </w:p>
    <w:p>
      <w:pPr>
        <w:pStyle w:val="632"/>
        <w:spacing w:before="57"/>
      </w:pPr>
      <w:r>
        <w:t xml:space="preserve">Завершение работ - 1 квартал 2028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9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99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99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99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99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900"/>
            </w:pPr>
            <w:r/>
            <w:r>
              <w:t xml:space="preserve">19 567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900"/>
            </w:pPr>
            <w:r/>
            <w:r>
              <w:t xml:space="preserve">19 567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19 567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19 567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19 567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19 567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9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99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99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99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99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901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900"/>
            </w:pPr>
            <w:r/>
            <w:r>
              <w:t xml:space="preserve">23 872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900"/>
            </w:pPr>
            <w:r/>
            <w:r>
              <w:t xml:space="preserve">23 872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23 872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23 872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90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23 872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90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23 872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9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99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99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99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99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98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99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900">
    <w:name w:val="Таблица 1. Число"/>
    <w:basedOn w:val="899"/>
    <w:uiPriority w:val="1"/>
    <w:qFormat/>
    <w:pPr>
      <w:jc w:val="right"/>
    </w:pPr>
    <w:rPr/>
  </w:style>
  <w:style w:type="paragraph" w:styleId="901">
    <w:name w:val="Таблица 1. Строка"/>
    <w:basedOn w:val="899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2026-03-03T12:11:01Z</dcterms:modified>
</cp:coreProperties>
</file>